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782F3F16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0F2E1A" w:rsidRPr="000F2E1A">
        <w:rPr>
          <w:rFonts w:eastAsia="Calibri"/>
          <w:b/>
          <w:sz w:val="24"/>
        </w:rPr>
        <w:t>2. Dezvoltarea infrastructurii spitalicești publice</w:t>
      </w:r>
    </w:p>
    <w:p w14:paraId="19B4FDFA" w14:textId="3E4927F4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F45FAA" w:rsidRPr="00F45FAA">
        <w:rPr>
          <w:rFonts w:eastAsia="Calibri"/>
          <w:b/>
          <w:sz w:val="24"/>
        </w:rPr>
        <w:t xml:space="preserve">I2.4. Echipamente și materiale destinate reducerii riscului de infecții </w:t>
      </w:r>
      <w:proofErr w:type="spellStart"/>
      <w:r w:rsidR="00F45FAA" w:rsidRPr="00F45FAA">
        <w:rPr>
          <w:rFonts w:eastAsia="Calibri"/>
          <w:b/>
          <w:sz w:val="24"/>
        </w:rPr>
        <w:t>nosocomiale</w:t>
      </w:r>
      <w:proofErr w:type="spellEnd"/>
    </w:p>
    <w:p w14:paraId="4F80153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21BBCC45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CF5718" w:rsidRPr="00CF5718">
        <w:t>2. Dezvoltarea infrastructurii spitalicești publice</w:t>
      </w:r>
      <w:r w:rsidR="00CE47B1">
        <w:t>-</w:t>
      </w:r>
      <w:r w:rsidR="00CF5718" w:rsidRPr="00CF5718">
        <w:t xml:space="preserve"> </w:t>
      </w:r>
      <w:r w:rsidR="00F45FAA" w:rsidRPr="00F45FAA">
        <w:t xml:space="preserve">I2.4. Echipamente și materiale destinate reducerii riscului de infecții </w:t>
      </w:r>
      <w:proofErr w:type="spellStart"/>
      <w:r w:rsidR="00F45FAA" w:rsidRPr="00F45FAA">
        <w:t>nosocomiale</w:t>
      </w:r>
      <w:proofErr w:type="spellEnd"/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CF5718">
        <w:t>2</w:t>
      </w:r>
      <w:r w:rsidR="00F45FAA">
        <w:t>4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F9FED00" w14:textId="77777777" w:rsidR="00382EF4" w:rsidRDefault="00382EF4" w:rsidP="00382EF4">
      <w:pPr>
        <w:jc w:val="both"/>
      </w:pPr>
      <w:r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77777777"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77777777"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77777777"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E523" w14:textId="77777777" w:rsidR="000874EE" w:rsidRDefault="000874EE" w:rsidP="000F2B90">
      <w:pPr>
        <w:spacing w:before="0" w:after="0"/>
      </w:pPr>
      <w:r>
        <w:separator/>
      </w:r>
    </w:p>
  </w:endnote>
  <w:endnote w:type="continuationSeparator" w:id="0">
    <w:p w14:paraId="5DBCC592" w14:textId="77777777" w:rsidR="000874EE" w:rsidRDefault="000874E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F611" w14:textId="77777777" w:rsidR="000874EE" w:rsidRDefault="000874EE" w:rsidP="000F2B90">
      <w:pPr>
        <w:spacing w:before="0" w:after="0"/>
      </w:pPr>
      <w:r>
        <w:separator/>
      </w:r>
    </w:p>
  </w:footnote>
  <w:footnote w:type="continuationSeparator" w:id="0">
    <w:p w14:paraId="58BD25D9" w14:textId="77777777" w:rsidR="000874EE" w:rsidRDefault="000874E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E47B1"/>
    <w:rsid w:val="00CF5718"/>
    <w:rsid w:val="00D12A12"/>
    <w:rsid w:val="00D90331"/>
    <w:rsid w:val="00DC6792"/>
    <w:rsid w:val="00E00476"/>
    <w:rsid w:val="00E008DF"/>
    <w:rsid w:val="00E23039"/>
    <w:rsid w:val="00EE49BE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354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46</cp:revision>
  <cp:lastPrinted>2018-03-13T12:59:00Z</cp:lastPrinted>
  <dcterms:created xsi:type="dcterms:W3CDTF">2016-03-18T07:50:00Z</dcterms:created>
  <dcterms:modified xsi:type="dcterms:W3CDTF">2022-07-21T09:37:00Z</dcterms:modified>
</cp:coreProperties>
</file>